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7A371" w14:textId="708B2C3C" w:rsidR="006E3DB2" w:rsidRPr="00D74230" w:rsidRDefault="006E3DB2" w:rsidP="00477046">
      <w:pPr>
        <w:rPr>
          <w:rStyle w:val="Strong"/>
          <w:rFonts w:ascii="Segoe UI" w:hAnsi="Segoe UI" w:cs="Segoe UI"/>
          <w:b w:val="0"/>
          <w:bCs w:val="0"/>
        </w:rPr>
      </w:pPr>
      <w:r w:rsidRPr="00D74230">
        <w:rPr>
          <w:rStyle w:val="Strong"/>
          <w:rFonts w:cstheme="minorHAnsi"/>
        </w:rPr>
        <w:t>Link to video:</w:t>
      </w:r>
      <w:r w:rsidR="00477046" w:rsidRPr="00D74230">
        <w:rPr>
          <w:rStyle w:val="Strong"/>
          <w:rFonts w:cstheme="minorHAnsi"/>
        </w:rPr>
        <w:t xml:space="preserve"> </w:t>
      </w:r>
      <w:hyperlink r:id="rId7" w:tgtFrame="_blank" w:tooltip="https://youtu.be/t7_nrwhklpw" w:history="1">
        <w:r w:rsidR="00477046" w:rsidRPr="00D74230">
          <w:rPr>
            <w:rStyle w:val="Hyperlink"/>
            <w:rFonts w:cstheme="minorHAnsi"/>
          </w:rPr>
          <w:t>https://youtu.be/T7_NrwHkLpw</w:t>
        </w:r>
      </w:hyperlink>
      <w:r w:rsidRPr="00D74230">
        <w:rPr>
          <w:rStyle w:val="Strong"/>
          <w:rFonts w:cstheme="minorHAnsi"/>
        </w:rPr>
        <w:br/>
        <w:t>Link to handout:</w:t>
      </w:r>
      <w:r w:rsidR="00477046" w:rsidRPr="00D74230">
        <w:rPr>
          <w:rStyle w:val="Strong"/>
          <w:rFonts w:cstheme="minorHAnsi"/>
        </w:rPr>
        <w:t xml:space="preserve"> </w:t>
      </w:r>
      <w:hyperlink r:id="rId8" w:history="1">
        <w:r w:rsidR="00D74230" w:rsidRPr="00D74230">
          <w:rPr>
            <w:rStyle w:val="Hyperlink"/>
          </w:rPr>
          <w:t>https://www.aaii.com/files/images/RetirementPortfolioAnalysis-June2020-AAII.pdf</w:t>
        </w:r>
      </w:hyperlink>
    </w:p>
    <w:p w14:paraId="69701912" w14:textId="7437918D" w:rsidR="00F52AA6" w:rsidRPr="00D74230" w:rsidRDefault="00F52AA6" w:rsidP="00F52AA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sz w:val="22"/>
          <w:szCs w:val="22"/>
        </w:rPr>
        <w:t>AAII Articles</w:t>
      </w:r>
    </w:p>
    <w:p w14:paraId="0F011247" w14:textId="250BB94A" w:rsidR="00F52AA6" w:rsidRPr="00D74230" w:rsidRDefault="00F52AA6" w:rsidP="00F52AA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sz w:val="22"/>
          <w:szCs w:val="22"/>
        </w:rPr>
        <w:t>Referenced During Webinar</w:t>
      </w:r>
      <w:r w:rsidRPr="00D74230">
        <w:rPr>
          <w:rStyle w:val="Strong"/>
          <w:rFonts w:asciiTheme="minorHAnsi" w:hAnsiTheme="minorHAnsi" w:cstheme="minorHAnsi"/>
          <w:sz w:val="22"/>
          <w:szCs w:val="22"/>
          <w:u w:val="single"/>
        </w:rPr>
        <w:br/>
      </w:r>
      <w:hyperlink r:id="rId9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The Impact of Expense Ratios on Retirement Income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hyperlink r:id="rId10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Vanguard’s Dynamic Spending Strategy for Retirees</w:t>
        </w:r>
      </w:hyperlink>
    </w:p>
    <w:p w14:paraId="750971C6" w14:textId="4EF0E979" w:rsidR="00F52AA6" w:rsidRPr="00D74230" w:rsidRDefault="00F52AA6" w:rsidP="00F52AA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sz w:val="22"/>
          <w:szCs w:val="22"/>
        </w:rPr>
        <w:t>Articles by Craig Israelsen</w:t>
      </w:r>
      <w:r w:rsidRPr="00D74230">
        <w:rPr>
          <w:rStyle w:val="Strong"/>
          <w:rFonts w:asciiTheme="minorHAnsi" w:hAnsiTheme="minorHAnsi" w:cstheme="minorHAnsi"/>
          <w:sz w:val="22"/>
          <w:szCs w:val="22"/>
          <w:u w:val="single"/>
        </w:rPr>
        <w:br/>
      </w:r>
      <w:hyperlink r:id="rId11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Asset Allocation, RMDs and Portfolio Survival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hyperlink r:id="rId12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Retirement Portfolio Survival: A 90-Year Study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hyperlink r:id="rId13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The Mathematics of Retirement Portfolios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hyperlink r:id="rId14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Asset Returns During High and Low Inflationary Periods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r w:rsidRPr="00D74230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Other Articles by </w:t>
      </w:r>
      <w:hyperlink r:id="rId15" w:history="1">
        <w:r w:rsidRPr="00D74230">
          <w:rPr>
            <w:rStyle w:val="Strong"/>
            <w:rFonts w:asciiTheme="minorHAnsi" w:hAnsiTheme="minorHAnsi" w:cstheme="minorHAnsi"/>
            <w:b w:val="0"/>
            <w:color w:val="0000FF"/>
            <w:sz w:val="22"/>
            <w:szCs w:val="22"/>
            <w:u w:val="single"/>
          </w:rPr>
          <w:t>Craig Israelsen</w:t>
        </w:r>
      </w:hyperlink>
    </w:p>
    <w:p w14:paraId="7E3D0511" w14:textId="77777777" w:rsidR="00120815" w:rsidRPr="00D74230" w:rsidRDefault="00F52AA6" w:rsidP="00120815">
      <w:pPr>
        <w:pStyle w:val="NormalWeb"/>
        <w:spacing w:before="0" w:beforeAutospacing="0" w:after="0" w:afterAutospacing="0"/>
        <w:rPr>
          <w:rStyle w:val="Hyperlink"/>
          <w:rFonts w:asciiTheme="minorHAnsi" w:hAnsiTheme="minorHAnsi" w:cstheme="minorHAnsi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sz w:val="22"/>
          <w:szCs w:val="22"/>
        </w:rPr>
        <w:t>Other Retirement Articles</w:t>
      </w:r>
      <w:r w:rsidRPr="00D74230">
        <w:rPr>
          <w:rStyle w:val="Strong"/>
          <w:rFonts w:asciiTheme="minorHAnsi" w:hAnsiTheme="minorHAnsi" w:cstheme="minorHAnsi"/>
          <w:sz w:val="22"/>
          <w:szCs w:val="22"/>
          <w:u w:val="single"/>
        </w:rPr>
        <w:br/>
      </w:r>
      <w:hyperlink r:id="rId16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The Sequence in Which Returns Occur Affects Your Wealth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hyperlink r:id="rId17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Taking Retirement Withdrawals From a Fund Portfolio</w:t>
        </w:r>
      </w:hyperlink>
      <w:r w:rsidRPr="00D74230">
        <w:rPr>
          <w:rFonts w:asciiTheme="minorHAnsi" w:hAnsiTheme="minorHAnsi" w:cstheme="minorHAnsi"/>
          <w:sz w:val="22"/>
          <w:szCs w:val="22"/>
        </w:rPr>
        <w:br/>
      </w:r>
      <w:hyperlink r:id="rId18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Finding the Right Withdrawal Rate: One Key to Portfolio Sustainability</w:t>
        </w:r>
      </w:hyperlink>
    </w:p>
    <w:p w14:paraId="71352E49" w14:textId="19B90DC3" w:rsidR="003F42F5" w:rsidRPr="00D74230" w:rsidRDefault="00D74230" w:rsidP="00120815">
      <w:pPr>
        <w:pStyle w:val="NormalWeb"/>
        <w:spacing w:before="0" w:beforeAutospacing="0" w:after="0" w:afterAutospacing="0"/>
        <w:rPr>
          <w:rStyle w:val="Hyperlink"/>
          <w:rFonts w:asciiTheme="minorHAnsi" w:hAnsiTheme="minorHAnsi" w:cstheme="minorHAnsi"/>
          <w:sz w:val="22"/>
          <w:szCs w:val="22"/>
        </w:rPr>
      </w:pPr>
      <w:hyperlink r:id="rId19" w:history="1">
        <w:r w:rsidR="00464892"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Five Major Considerations for Early Retirement</w:t>
        </w:r>
      </w:hyperlink>
      <w:r w:rsidR="00F52AA6" w:rsidRPr="00D74230">
        <w:rPr>
          <w:rFonts w:asciiTheme="minorHAnsi" w:hAnsiTheme="minorHAnsi" w:cstheme="minorHAnsi"/>
          <w:sz w:val="22"/>
          <w:szCs w:val="22"/>
        </w:rPr>
        <w:br/>
      </w:r>
      <w:hyperlink r:id="rId20" w:history="1">
        <w:r w:rsidR="00F52AA6"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Revisiting the Risks of Retirement Spending Rules</w:t>
        </w:r>
      </w:hyperlink>
      <w:r w:rsidR="00F52AA6" w:rsidRPr="00D74230">
        <w:rPr>
          <w:rFonts w:asciiTheme="minorHAnsi" w:hAnsiTheme="minorHAnsi" w:cstheme="minorHAnsi"/>
          <w:sz w:val="22"/>
          <w:szCs w:val="22"/>
        </w:rPr>
        <w:br/>
      </w:r>
      <w:hyperlink r:id="rId21" w:history="1">
        <w:r w:rsidR="00F52AA6"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Strategies for Managing Required Minimum Distributions</w:t>
        </w:r>
      </w:hyperlink>
      <w:r w:rsidR="00F52AA6" w:rsidRPr="00D74230">
        <w:rPr>
          <w:rFonts w:asciiTheme="minorHAnsi" w:hAnsiTheme="minorHAnsi" w:cstheme="minorHAnsi"/>
          <w:sz w:val="22"/>
          <w:szCs w:val="22"/>
        </w:rPr>
        <w:br/>
      </w:r>
      <w:hyperlink r:id="rId22" w:history="1">
        <w:r w:rsidR="00F52AA6"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Insights on Using the 4% Withdrawal Rule From Its Creator</w:t>
        </w:r>
      </w:hyperlink>
    </w:p>
    <w:p w14:paraId="1978672B" w14:textId="77777777" w:rsidR="00120815" w:rsidRPr="00D74230" w:rsidRDefault="00120815" w:rsidP="00120815">
      <w:pPr>
        <w:pStyle w:val="NormalWeb"/>
        <w:spacing w:before="0" w:beforeAutospacing="0" w:after="0" w:afterAutospacing="0"/>
        <w:rPr>
          <w:rStyle w:val="Hyperlink"/>
          <w:rFonts w:asciiTheme="minorHAnsi" w:hAnsiTheme="minorHAnsi" w:cstheme="minorHAnsi"/>
          <w:sz w:val="22"/>
          <w:szCs w:val="22"/>
        </w:rPr>
      </w:pPr>
    </w:p>
    <w:p w14:paraId="49C67AF0" w14:textId="2423D0EE" w:rsidR="003A3A05" w:rsidRPr="00D74230" w:rsidRDefault="00DA1EE7" w:rsidP="00DA1EE7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sz w:val="22"/>
          <w:szCs w:val="22"/>
        </w:rPr>
        <w:t xml:space="preserve">Contact </w:t>
      </w:r>
      <w:r w:rsidR="004746FF" w:rsidRPr="00D74230">
        <w:rPr>
          <w:rStyle w:val="Strong"/>
          <w:rFonts w:asciiTheme="minorHAnsi" w:hAnsiTheme="minorHAnsi" w:cstheme="minorHAnsi"/>
          <w:sz w:val="22"/>
          <w:szCs w:val="22"/>
        </w:rPr>
        <w:t xml:space="preserve">Craig Israelsen </w:t>
      </w:r>
    </w:p>
    <w:p w14:paraId="1A0C2A53" w14:textId="13B447F1" w:rsidR="00D619FF" w:rsidRPr="00D74230" w:rsidRDefault="006E334B" w:rsidP="00DA1EE7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Website: </w:t>
      </w:r>
      <w:hyperlink r:id="rId23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7Twelve Portfolio</w:t>
        </w:r>
      </w:hyperlink>
    </w:p>
    <w:p w14:paraId="0E27E902" w14:textId="320BF12A" w:rsidR="00F52AA6" w:rsidRPr="00D74230" w:rsidRDefault="006E334B" w:rsidP="00D7423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7423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Email: </w:t>
      </w:r>
      <w:hyperlink r:id="rId24" w:history="1">
        <w:r w:rsidRPr="00D74230">
          <w:rPr>
            <w:rStyle w:val="Hyperlink"/>
            <w:rFonts w:asciiTheme="minorHAnsi" w:hAnsiTheme="minorHAnsi" w:cstheme="minorHAnsi"/>
            <w:sz w:val="22"/>
            <w:szCs w:val="22"/>
          </w:rPr>
          <w:t>Craig@7TwelvePortfolio.com</w:t>
        </w:r>
      </w:hyperlink>
    </w:p>
    <w:sectPr w:rsidR="00F52AA6" w:rsidRPr="00D74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4A"/>
    <w:rsid w:val="000A69F1"/>
    <w:rsid w:val="000B297C"/>
    <w:rsid w:val="00120815"/>
    <w:rsid w:val="001278F0"/>
    <w:rsid w:val="001D55AE"/>
    <w:rsid w:val="002001A5"/>
    <w:rsid w:val="003A3A05"/>
    <w:rsid w:val="003A68B1"/>
    <w:rsid w:val="003B1E4A"/>
    <w:rsid w:val="003F42F5"/>
    <w:rsid w:val="00464892"/>
    <w:rsid w:val="004746FF"/>
    <w:rsid w:val="00477046"/>
    <w:rsid w:val="0048456C"/>
    <w:rsid w:val="006A7BD4"/>
    <w:rsid w:val="006E334B"/>
    <w:rsid w:val="006E3DB2"/>
    <w:rsid w:val="00892999"/>
    <w:rsid w:val="008E7D92"/>
    <w:rsid w:val="00901BC2"/>
    <w:rsid w:val="009F0ABA"/>
    <w:rsid w:val="00A35463"/>
    <w:rsid w:val="00AC065D"/>
    <w:rsid w:val="00B87172"/>
    <w:rsid w:val="00B92658"/>
    <w:rsid w:val="00C00BBE"/>
    <w:rsid w:val="00D619FF"/>
    <w:rsid w:val="00D74230"/>
    <w:rsid w:val="00DA1EE7"/>
    <w:rsid w:val="00F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D1E5B"/>
  <w15:chartTrackingRefBased/>
  <w15:docId w15:val="{2050F054-454E-46B8-B16F-0EC85FD7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1E4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52AA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E7D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ii.com/files/images/RetirementPortfolioAnalysis-June2020-AAII.pdf" TargetMode="External"/><Relationship Id="rId13" Type="http://schemas.openxmlformats.org/officeDocument/2006/relationships/hyperlink" Target="https://www.aaii.com/journal/article/the-mathematics-of-retirement-portfolios" TargetMode="External"/><Relationship Id="rId18" Type="http://schemas.openxmlformats.org/officeDocument/2006/relationships/hyperlink" Target="https://www.aaii.com/journal/article/finding-the-right-withdrawal-rate-one-key-toportfolio-sustainabilit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aii.com/journal/article/strategies-for-managing-required-minimum-distributions" TargetMode="External"/><Relationship Id="rId7" Type="http://schemas.openxmlformats.org/officeDocument/2006/relationships/hyperlink" Target="https://youtu.be/T7_NrwHkLpw" TargetMode="External"/><Relationship Id="rId12" Type="http://schemas.openxmlformats.org/officeDocument/2006/relationships/hyperlink" Target="https://www.aaii.com/journal/article/retirement-portfolio-survival-a-90-year-study" TargetMode="External"/><Relationship Id="rId17" Type="http://schemas.openxmlformats.org/officeDocument/2006/relationships/hyperlink" Target="https://www.aaii.com/journal/article/taking-retirement-withdrawals-from-a-fund-portfolio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aii.com/journal/article/the-sequence-in-which-returns-occur-affects-your-wealth" TargetMode="External"/><Relationship Id="rId20" Type="http://schemas.openxmlformats.org/officeDocument/2006/relationships/hyperlink" Target="https://www.aaii.com/journal/article/revisiting-the-risks-of-retirement-spending-rul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aii.com/journal/article/asset-allocation-rmds-and-portfolio-survival" TargetMode="External"/><Relationship Id="rId24" Type="http://schemas.openxmlformats.org/officeDocument/2006/relationships/hyperlink" Target="mailto:Craig@7TwelvePortfolio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aii.com/authors/show/craig-israelsen" TargetMode="External"/><Relationship Id="rId23" Type="http://schemas.openxmlformats.org/officeDocument/2006/relationships/hyperlink" Target="http://www.7twelveportfolio.com/" TargetMode="External"/><Relationship Id="rId10" Type="http://schemas.openxmlformats.org/officeDocument/2006/relationships/hyperlink" Target="https://www.aaii.com/journal/article/vanguards-dynamic-spending-strategy-for-retirees" TargetMode="External"/><Relationship Id="rId19" Type="http://schemas.openxmlformats.org/officeDocument/2006/relationships/hyperlink" Target="https://www.aaii.com/journal/article/10561-five-major-considerations-for-early-retiremen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aii.com/journal/article/the-impact-of-expense-ratios-on-retirement-income" TargetMode="External"/><Relationship Id="rId14" Type="http://schemas.openxmlformats.org/officeDocument/2006/relationships/hyperlink" Target="https://www.aaii.com/journal/article/asset-returns-during-high-and-low-inflationary-periods" TargetMode="External"/><Relationship Id="rId22" Type="http://schemas.openxmlformats.org/officeDocument/2006/relationships/hyperlink" Target="https://www.aaii.com/journal/article/insights-on-using-the-withdrawal-rule-from-its-cre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B8318709EF34D8A09598173A7FE8D" ma:contentTypeVersion="11" ma:contentTypeDescription="Create a new document." ma:contentTypeScope="" ma:versionID="31e3791630ddf1eb001776a154698cfc">
  <xsd:schema xmlns:xsd="http://www.w3.org/2001/XMLSchema" xmlns:xs="http://www.w3.org/2001/XMLSchema" xmlns:p="http://schemas.microsoft.com/office/2006/metadata/properties" xmlns:ns2="a6228a43-dbd8-4243-80ca-db58737c8845" xmlns:ns3="1e9bb591-603c-4428-b4a6-ff179a66e559" targetNamespace="http://schemas.microsoft.com/office/2006/metadata/properties" ma:root="true" ma:fieldsID="dcc18549bf6ea58030d34c6dc8683412" ns2:_="" ns3:_="">
    <xsd:import namespace="a6228a43-dbd8-4243-80ca-db58737c8845"/>
    <xsd:import namespace="1e9bb591-603c-4428-b4a6-ff179a66e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28a43-dbd8-4243-80ca-db58737c8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bb591-603c-4428-b4a6-ff179a66e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C1676-03A1-4A69-8099-87724FD252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74FED0-E1F2-4C0E-B3C2-388ABCA11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1A533-0A51-48D0-8F4A-98BAABC8C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28a43-dbd8-4243-80ca-db58737c8845"/>
    <ds:schemaRef ds:uri="1e9bb591-603c-4428-b4a6-ff179a66e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2377</Characters>
  <Application>Microsoft Office Word</Application>
  <DocSecurity>0</DocSecurity>
  <Lines>43</Lines>
  <Paragraphs>15</Paragraphs>
  <ScaleCrop>false</ScaleCrop>
  <Company/>
  <LinksUpToDate>false</LinksUpToDate>
  <CharactersWithSpaces>2736</CharactersWithSpaces>
  <SharedDoc>false</SharedDoc>
  <HLinks>
    <vt:vector size="96" baseType="variant">
      <vt:variant>
        <vt:i4>1179762</vt:i4>
      </vt:variant>
      <vt:variant>
        <vt:i4>45</vt:i4>
      </vt:variant>
      <vt:variant>
        <vt:i4>0</vt:i4>
      </vt:variant>
      <vt:variant>
        <vt:i4>5</vt:i4>
      </vt:variant>
      <vt:variant>
        <vt:lpwstr>mailto:Craig@7TwelvePortfolio.com</vt:lpwstr>
      </vt:variant>
      <vt:variant>
        <vt:lpwstr/>
      </vt:variant>
      <vt:variant>
        <vt:i4>1114206</vt:i4>
      </vt:variant>
      <vt:variant>
        <vt:i4>42</vt:i4>
      </vt:variant>
      <vt:variant>
        <vt:i4>0</vt:i4>
      </vt:variant>
      <vt:variant>
        <vt:i4>5</vt:i4>
      </vt:variant>
      <vt:variant>
        <vt:lpwstr>http://www.7twelveportfolio.com/</vt:lpwstr>
      </vt:variant>
      <vt:variant>
        <vt:lpwstr/>
      </vt:variant>
      <vt:variant>
        <vt:i4>3866666</vt:i4>
      </vt:variant>
      <vt:variant>
        <vt:i4>39</vt:i4>
      </vt:variant>
      <vt:variant>
        <vt:i4>0</vt:i4>
      </vt:variant>
      <vt:variant>
        <vt:i4>5</vt:i4>
      </vt:variant>
      <vt:variant>
        <vt:lpwstr>https://www.aaii.com/journal/article/insights-on-using-the-withdrawal-rule-from-its-creator</vt:lpwstr>
      </vt:variant>
      <vt:variant>
        <vt:lpwstr/>
      </vt:variant>
      <vt:variant>
        <vt:i4>2752621</vt:i4>
      </vt:variant>
      <vt:variant>
        <vt:i4>36</vt:i4>
      </vt:variant>
      <vt:variant>
        <vt:i4>0</vt:i4>
      </vt:variant>
      <vt:variant>
        <vt:i4>5</vt:i4>
      </vt:variant>
      <vt:variant>
        <vt:lpwstr>https://www.aaii.com/journal/article/strategies-for-managing-required-minimum-distributions</vt:lpwstr>
      </vt:variant>
      <vt:variant>
        <vt:lpwstr/>
      </vt:variant>
      <vt:variant>
        <vt:i4>2818110</vt:i4>
      </vt:variant>
      <vt:variant>
        <vt:i4>33</vt:i4>
      </vt:variant>
      <vt:variant>
        <vt:i4>0</vt:i4>
      </vt:variant>
      <vt:variant>
        <vt:i4>5</vt:i4>
      </vt:variant>
      <vt:variant>
        <vt:lpwstr>https://www.aaii.com/journal/article/revisiting-the-risks-of-retirement-spending-rules</vt:lpwstr>
      </vt:variant>
      <vt:variant>
        <vt:lpwstr/>
      </vt:variant>
      <vt:variant>
        <vt:i4>262235</vt:i4>
      </vt:variant>
      <vt:variant>
        <vt:i4>30</vt:i4>
      </vt:variant>
      <vt:variant>
        <vt:i4>0</vt:i4>
      </vt:variant>
      <vt:variant>
        <vt:i4>5</vt:i4>
      </vt:variant>
      <vt:variant>
        <vt:lpwstr>https://www.aaii.com/journal/article/10561-five-major-considerations-for-early-retirement</vt:lpwstr>
      </vt:variant>
      <vt:variant>
        <vt:lpwstr/>
      </vt:variant>
      <vt:variant>
        <vt:i4>393236</vt:i4>
      </vt:variant>
      <vt:variant>
        <vt:i4>27</vt:i4>
      </vt:variant>
      <vt:variant>
        <vt:i4>0</vt:i4>
      </vt:variant>
      <vt:variant>
        <vt:i4>5</vt:i4>
      </vt:variant>
      <vt:variant>
        <vt:lpwstr>https://www.aaii.com/journal/article/finding-the-right-withdrawal-rate-one-key-toportfolio-sustainability</vt:lpwstr>
      </vt:variant>
      <vt:variant>
        <vt:lpwstr/>
      </vt:variant>
      <vt:variant>
        <vt:i4>983067</vt:i4>
      </vt:variant>
      <vt:variant>
        <vt:i4>24</vt:i4>
      </vt:variant>
      <vt:variant>
        <vt:i4>0</vt:i4>
      </vt:variant>
      <vt:variant>
        <vt:i4>5</vt:i4>
      </vt:variant>
      <vt:variant>
        <vt:lpwstr>https://www.aaii.com/journal/article/taking-retirement-withdrawals-from-a-fund-portfolio</vt:lpwstr>
      </vt:variant>
      <vt:variant>
        <vt:lpwstr/>
      </vt:variant>
      <vt:variant>
        <vt:i4>5111900</vt:i4>
      </vt:variant>
      <vt:variant>
        <vt:i4>21</vt:i4>
      </vt:variant>
      <vt:variant>
        <vt:i4>0</vt:i4>
      </vt:variant>
      <vt:variant>
        <vt:i4>5</vt:i4>
      </vt:variant>
      <vt:variant>
        <vt:lpwstr>https://www.aaii.com/journal/article/the-sequence-in-which-returns-occur-affects-your-wealth</vt:lpwstr>
      </vt:variant>
      <vt:variant>
        <vt:lpwstr/>
      </vt:variant>
      <vt:variant>
        <vt:i4>5832721</vt:i4>
      </vt:variant>
      <vt:variant>
        <vt:i4>18</vt:i4>
      </vt:variant>
      <vt:variant>
        <vt:i4>0</vt:i4>
      </vt:variant>
      <vt:variant>
        <vt:i4>5</vt:i4>
      </vt:variant>
      <vt:variant>
        <vt:lpwstr>https://www.aaii.com/authors/show/craig-israelsen</vt:lpwstr>
      </vt:variant>
      <vt:variant>
        <vt:lpwstr/>
      </vt:variant>
      <vt:variant>
        <vt:i4>3473521</vt:i4>
      </vt:variant>
      <vt:variant>
        <vt:i4>15</vt:i4>
      </vt:variant>
      <vt:variant>
        <vt:i4>0</vt:i4>
      </vt:variant>
      <vt:variant>
        <vt:i4>5</vt:i4>
      </vt:variant>
      <vt:variant>
        <vt:lpwstr>https://www.aaii.com/journal/article/asset-returns-during-high-and-low-inflationary-periods</vt:lpwstr>
      </vt:variant>
      <vt:variant>
        <vt:lpwstr/>
      </vt:variant>
      <vt:variant>
        <vt:i4>720919</vt:i4>
      </vt:variant>
      <vt:variant>
        <vt:i4>12</vt:i4>
      </vt:variant>
      <vt:variant>
        <vt:i4>0</vt:i4>
      </vt:variant>
      <vt:variant>
        <vt:i4>5</vt:i4>
      </vt:variant>
      <vt:variant>
        <vt:lpwstr>https://www.aaii.com/journal/article/the-mathematics-of-retirement-portfolios</vt:lpwstr>
      </vt:variant>
      <vt:variant>
        <vt:lpwstr/>
      </vt:variant>
      <vt:variant>
        <vt:i4>3014702</vt:i4>
      </vt:variant>
      <vt:variant>
        <vt:i4>9</vt:i4>
      </vt:variant>
      <vt:variant>
        <vt:i4>0</vt:i4>
      </vt:variant>
      <vt:variant>
        <vt:i4>5</vt:i4>
      </vt:variant>
      <vt:variant>
        <vt:lpwstr>https://www.aaii.com/journal/article/retirement-portfolio-survival-a-90-year-study</vt:lpwstr>
      </vt:variant>
      <vt:variant>
        <vt:lpwstr/>
      </vt:variant>
      <vt:variant>
        <vt:i4>720974</vt:i4>
      </vt:variant>
      <vt:variant>
        <vt:i4>6</vt:i4>
      </vt:variant>
      <vt:variant>
        <vt:i4>0</vt:i4>
      </vt:variant>
      <vt:variant>
        <vt:i4>5</vt:i4>
      </vt:variant>
      <vt:variant>
        <vt:lpwstr>https://www.aaii.com/journal/article/asset-allocation-rmds-and-portfolio-survival</vt:lpwstr>
      </vt:variant>
      <vt:variant>
        <vt:lpwstr/>
      </vt:variant>
      <vt:variant>
        <vt:i4>1376347</vt:i4>
      </vt:variant>
      <vt:variant>
        <vt:i4>3</vt:i4>
      </vt:variant>
      <vt:variant>
        <vt:i4>0</vt:i4>
      </vt:variant>
      <vt:variant>
        <vt:i4>5</vt:i4>
      </vt:variant>
      <vt:variant>
        <vt:lpwstr>https://www.aaii.com/journal/article/vanguards-dynamic-spending-strategy-for-retirees</vt:lpwstr>
      </vt:variant>
      <vt:variant>
        <vt:lpwstr/>
      </vt:variant>
      <vt:variant>
        <vt:i4>6946871</vt:i4>
      </vt:variant>
      <vt:variant>
        <vt:i4>0</vt:i4>
      </vt:variant>
      <vt:variant>
        <vt:i4>0</vt:i4>
      </vt:variant>
      <vt:variant>
        <vt:i4>5</vt:i4>
      </vt:variant>
      <vt:variant>
        <vt:lpwstr>https://www.aaii.com/journal/article/the-impact-of-expense-ratios-on-retirement-income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Henrich</dc:creator>
  <cp:keywords/>
  <dc:description/>
  <cp:lastModifiedBy>Anine Sus</cp:lastModifiedBy>
  <cp:revision>10</cp:revision>
  <dcterms:created xsi:type="dcterms:W3CDTF">2020-06-18T03:59:00Z</dcterms:created>
  <dcterms:modified xsi:type="dcterms:W3CDTF">2020-06-18T17:56:00Z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0x01010082CB8318709EF34D8A09598173A7FE8D</vt:lpwstr>
  </property>
</Properties>
</file>